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1F1D4B36" w:rsidR="00EB4C6E" w:rsidRPr="003D4CB9" w:rsidRDefault="00F32411" w:rsidP="00F32411">
      <w:pPr>
        <w:spacing w:line="276" w:lineRule="auto"/>
        <w:ind w:right="-1"/>
        <w:rPr>
          <w:rFonts w:cs="Adobe Arabic"/>
          <w:b/>
          <w:sz w:val="24"/>
        </w:rPr>
      </w:pPr>
      <w:r>
        <w:rPr>
          <w:b/>
          <w:sz w:val="24"/>
        </w:rPr>
        <w:t>HEIDENHAIN inductive rotary encoders at AUTOMATICA 2025: Optimal motor feedback for every application, including built-in vibration analysis</w:t>
      </w:r>
    </w:p>
    <w:p w14:paraId="5BCF425C" w14:textId="77777777" w:rsidR="00EB4C6E" w:rsidRDefault="00EB4C6E" w:rsidP="00EB4C6E">
      <w:pPr>
        <w:spacing w:line="276" w:lineRule="auto"/>
        <w:ind w:right="140"/>
        <w:rPr>
          <w:rFonts w:cs="Adobe Arabic"/>
        </w:rPr>
      </w:pPr>
    </w:p>
    <w:p w14:paraId="05DA26A8" w14:textId="41DB18DB" w:rsidR="005121E1" w:rsidRDefault="00B95935" w:rsidP="0063009A">
      <w:pPr>
        <w:spacing w:line="276" w:lineRule="auto"/>
        <w:ind w:right="-1"/>
        <w:rPr>
          <w:rFonts w:cs="Adobe Arabic"/>
          <w:i/>
        </w:rPr>
      </w:pPr>
      <w:r>
        <w:rPr>
          <w:i/>
        </w:rPr>
        <w:t xml:space="preserve">HEIDENHAIN and its brands AMO, RENCO and RSF will be showcasing innovative motor feedback solutions for robots and </w:t>
      </w:r>
      <w:proofErr w:type="spellStart"/>
      <w:r>
        <w:rPr>
          <w:i/>
        </w:rPr>
        <w:t>cobots</w:t>
      </w:r>
      <w:proofErr w:type="spellEnd"/>
      <w:r>
        <w:rPr>
          <w:i/>
        </w:rPr>
        <w:t xml:space="preserve"> at AUTOMATICA 2025 in Munich, Germany:</w:t>
      </w:r>
    </w:p>
    <w:p w14:paraId="72A36E5B" w14:textId="7BB1F202" w:rsidR="005121E1" w:rsidRDefault="00B95935" w:rsidP="005121E1">
      <w:pPr>
        <w:pStyle w:val="Listenabsatz"/>
        <w:numPr>
          <w:ilvl w:val="0"/>
          <w:numId w:val="5"/>
        </w:numPr>
        <w:ind w:right="-1"/>
        <w:rPr>
          <w:rFonts w:ascii="Arial" w:hAnsi="Arial" w:cs="Arial"/>
          <w:i/>
        </w:rPr>
      </w:pPr>
      <w:r>
        <w:rPr>
          <w:rFonts w:ascii="Arial" w:hAnsi="Arial"/>
          <w:i/>
        </w:rPr>
        <w:t>Designed for every performance level in the automation field, the ECI and EQI inductive rotary encoder</w:t>
      </w:r>
      <w:r w:rsidR="00872122">
        <w:rPr>
          <w:rFonts w:ascii="Arial" w:hAnsi="Arial"/>
          <w:i/>
        </w:rPr>
        <w:t>s</w:t>
      </w:r>
      <w:r>
        <w:rPr>
          <w:rFonts w:ascii="Arial" w:hAnsi="Arial"/>
          <w:i/>
        </w:rPr>
        <w:t xml:space="preserve"> from HEIDEN</w:t>
      </w:r>
      <w:r w:rsidR="0038327B">
        <w:rPr>
          <w:rFonts w:ascii="Arial" w:hAnsi="Arial"/>
          <w:i/>
        </w:rPr>
        <w:t>H</w:t>
      </w:r>
      <w:r>
        <w:rPr>
          <w:rFonts w:ascii="Arial" w:hAnsi="Arial"/>
          <w:i/>
        </w:rPr>
        <w:t xml:space="preserve">AIN provide a versatile and fully </w:t>
      </w:r>
      <w:proofErr w:type="spellStart"/>
      <w:r>
        <w:rPr>
          <w:rFonts w:ascii="Arial" w:hAnsi="Arial"/>
          <w:i/>
        </w:rPr>
        <w:t>intercompatible</w:t>
      </w:r>
      <w:proofErr w:type="spellEnd"/>
      <w:r>
        <w:rPr>
          <w:rFonts w:ascii="Arial" w:hAnsi="Arial"/>
          <w:i/>
        </w:rPr>
        <w:t xml:space="preserve"> platform for optimal motor feedback.</w:t>
      </w:r>
    </w:p>
    <w:p w14:paraId="24C26DFC" w14:textId="1D5AAE2E" w:rsidR="005121E1" w:rsidRDefault="00B95935" w:rsidP="005121E1">
      <w:pPr>
        <w:pStyle w:val="Listenabsatz"/>
        <w:numPr>
          <w:ilvl w:val="0"/>
          <w:numId w:val="5"/>
        </w:numPr>
        <w:ind w:right="-1"/>
        <w:rPr>
          <w:rFonts w:ascii="Arial" w:hAnsi="Arial" w:cs="Arial"/>
          <w:i/>
        </w:rPr>
      </w:pPr>
      <w:r>
        <w:rPr>
          <w:rFonts w:ascii="Arial" w:hAnsi="Arial"/>
          <w:i/>
        </w:rPr>
        <w:t>For advanced robotics applications, HEIDENHAIN dual encoders, as well as secondary encoders from AMO and RSF, offer exceptional accuracy while enabling collision monitoring without additional torque sensors.</w:t>
      </w:r>
    </w:p>
    <w:p w14:paraId="5BE74BCB" w14:textId="2275CBA0" w:rsidR="00B95935" w:rsidRPr="005121E1" w:rsidRDefault="00B95935" w:rsidP="005121E1">
      <w:pPr>
        <w:pStyle w:val="Listenabsatz"/>
        <w:numPr>
          <w:ilvl w:val="0"/>
          <w:numId w:val="5"/>
        </w:numPr>
        <w:ind w:right="-1"/>
        <w:rPr>
          <w:rFonts w:ascii="Arial" w:hAnsi="Arial" w:cs="Arial"/>
          <w:i/>
        </w:rPr>
      </w:pPr>
      <w:r>
        <w:rPr>
          <w:rFonts w:ascii="Arial" w:hAnsi="Arial"/>
          <w:i/>
        </w:rPr>
        <w:t xml:space="preserve">Through built-in vibration analysis, the HEIDENHAIN ECI 1323 </w:t>
      </w:r>
      <w:proofErr w:type="spellStart"/>
      <w:r>
        <w:rPr>
          <w:rFonts w:ascii="Arial" w:hAnsi="Arial"/>
          <w:i/>
        </w:rPr>
        <w:t>Splus</w:t>
      </w:r>
      <w:proofErr w:type="spellEnd"/>
      <w:r>
        <w:rPr>
          <w:rFonts w:ascii="Arial" w:hAnsi="Arial"/>
          <w:i/>
        </w:rPr>
        <w:t xml:space="preserve"> and EQI</w:t>
      </w:r>
      <w:r w:rsidR="00872122">
        <w:rPr>
          <w:rFonts w:ascii="Arial" w:hAnsi="Arial"/>
          <w:i/>
        </w:rPr>
        <w:t> </w:t>
      </w:r>
      <w:r>
        <w:rPr>
          <w:rFonts w:ascii="Arial" w:hAnsi="Arial"/>
          <w:i/>
        </w:rPr>
        <w:t>1335</w:t>
      </w:r>
      <w:r w:rsidR="00872122">
        <w:rPr>
          <w:rFonts w:ascii="Arial" w:hAnsi="Arial"/>
          <w:i/>
        </w:rPr>
        <w:t> </w:t>
      </w:r>
      <w:proofErr w:type="spellStart"/>
      <w:r>
        <w:rPr>
          <w:rFonts w:ascii="Arial" w:hAnsi="Arial"/>
          <w:i/>
        </w:rPr>
        <w:t>Splus</w:t>
      </w:r>
      <w:proofErr w:type="spellEnd"/>
      <w:r>
        <w:rPr>
          <w:rFonts w:ascii="Arial" w:hAnsi="Arial"/>
          <w:i/>
        </w:rPr>
        <w:t xml:space="preserve"> rotary encoders increase the process reliability and failure safety of heavy-duty machines.</w:t>
      </w:r>
    </w:p>
    <w:p w14:paraId="428FC0CD" w14:textId="77777777" w:rsidR="00EB4C6E" w:rsidRDefault="00EB4C6E" w:rsidP="00EB4C6E">
      <w:pPr>
        <w:spacing w:line="276" w:lineRule="auto"/>
        <w:ind w:right="140"/>
        <w:rPr>
          <w:rFonts w:cs="Adobe Arabic"/>
        </w:rPr>
      </w:pPr>
    </w:p>
    <w:p w14:paraId="69C09F0A" w14:textId="4ABB163A" w:rsidR="00085108" w:rsidRDefault="0038327B" w:rsidP="00085108">
      <w:pPr>
        <w:tabs>
          <w:tab w:val="left" w:pos="3261"/>
        </w:tabs>
        <w:spacing w:line="276" w:lineRule="auto"/>
        <w:ind w:right="-1"/>
        <w:rPr>
          <w:rFonts w:cs="Adobe Arabic"/>
          <w:b/>
        </w:rPr>
      </w:pPr>
      <w:bookmarkStart w:id="0" w:name="_Hlk181694424"/>
      <w:r>
        <w:rPr>
          <w:b/>
        </w:rPr>
        <w:t xml:space="preserve">Fully </w:t>
      </w:r>
      <w:proofErr w:type="spellStart"/>
      <w:r>
        <w:rPr>
          <w:b/>
        </w:rPr>
        <w:t>intercompatible</w:t>
      </w:r>
      <w:proofErr w:type="spellEnd"/>
      <w:r w:rsidR="00085108">
        <w:rPr>
          <w:b/>
        </w:rPr>
        <w:t xml:space="preserve">: </w:t>
      </w:r>
      <w:r>
        <w:rPr>
          <w:b/>
        </w:rPr>
        <w:t>T</w:t>
      </w:r>
      <w:r w:rsidR="00085108">
        <w:rPr>
          <w:b/>
        </w:rPr>
        <w:t>he ECI and EQI rotary encoder platform</w:t>
      </w:r>
    </w:p>
    <w:p w14:paraId="711F4920" w14:textId="51E34334" w:rsidR="00085108" w:rsidRDefault="003A1CBE" w:rsidP="005121E1">
      <w:pPr>
        <w:tabs>
          <w:tab w:val="left" w:pos="3261"/>
        </w:tabs>
        <w:spacing w:line="276" w:lineRule="auto"/>
        <w:ind w:right="-143"/>
        <w:rPr>
          <w:rFonts w:cs="Adobe Arabic"/>
        </w:rPr>
      </w:pPr>
      <w:r>
        <w:t>Thanks to their modular design, the ECI and EQI inductive rotary encoders from HEIDENHAIN give drive-system manufacturers numerous options for adapting motor feedback to their specific applications without needing to change th</w:t>
      </w:r>
      <w:r w:rsidR="00872122">
        <w:t xml:space="preserve">e </w:t>
      </w:r>
      <w:r>
        <w:t>electronic or mechanical interfaces</w:t>
      </w:r>
      <w:r w:rsidR="00872122">
        <w:t xml:space="preserve"> of their systems</w:t>
      </w:r>
      <w:r>
        <w:t xml:space="preserve">. The mechanical mounting interfaces of these rotary encoders are fully </w:t>
      </w:r>
      <w:proofErr w:type="spellStart"/>
      <w:r>
        <w:t>intercompatible</w:t>
      </w:r>
      <w:proofErr w:type="spellEnd"/>
      <w:r>
        <w:t xml:space="preserve"> within each series: the 1100 series with a 35 mm diameter and the 1300 series with a 56 mm diameter. These encoders are also mechanically compatible with many other identically sized rotary encoders within</w:t>
      </w:r>
      <w:r w:rsidR="00872122">
        <w:t xml:space="preserve"> the</w:t>
      </w:r>
      <w:r>
        <w:t xml:space="preserve"> HEIDENHAIN product range, including the ECN/EQN</w:t>
      </w:r>
      <w:r w:rsidR="00872122">
        <w:t> </w:t>
      </w:r>
      <w:r>
        <w:t>1300 optical rotary encoder series. Meanwhile, the digital EnDat 3 data interface enables functionally safe applications up to SIL 3 without additional measures.</w:t>
      </w:r>
    </w:p>
    <w:p w14:paraId="584535DA" w14:textId="77777777" w:rsidR="00085108" w:rsidRDefault="00085108" w:rsidP="00085108">
      <w:pPr>
        <w:spacing w:line="276" w:lineRule="auto"/>
        <w:ind w:right="140"/>
        <w:rPr>
          <w:rFonts w:cs="Adobe Arabic"/>
        </w:rPr>
      </w:pPr>
    </w:p>
    <w:p w14:paraId="4CF530BD" w14:textId="77777777" w:rsidR="0038327B" w:rsidRDefault="00872122" w:rsidP="00116B7F">
      <w:pPr>
        <w:tabs>
          <w:tab w:val="left" w:pos="3261"/>
        </w:tabs>
        <w:spacing w:line="276" w:lineRule="auto"/>
        <w:ind w:right="-1"/>
        <w:rPr>
          <w:b/>
        </w:rPr>
      </w:pPr>
      <w:r>
        <w:rPr>
          <w:b/>
        </w:rPr>
        <w:t>Improved</w:t>
      </w:r>
      <w:r w:rsidR="00116B7F">
        <w:rPr>
          <w:b/>
        </w:rPr>
        <w:t xml:space="preserve"> accuracy and safety for </w:t>
      </w:r>
      <w:proofErr w:type="spellStart"/>
      <w:r w:rsidR="00116B7F">
        <w:rPr>
          <w:b/>
        </w:rPr>
        <w:t>cobots</w:t>
      </w:r>
      <w:proofErr w:type="spellEnd"/>
      <w:r w:rsidR="00116B7F">
        <w:rPr>
          <w:b/>
        </w:rPr>
        <w:t>:</w:t>
      </w:r>
      <w:r>
        <w:rPr>
          <w:rFonts w:cs="Adobe Arabic"/>
          <w:b/>
        </w:rPr>
        <w:t xml:space="preserve"> </w:t>
      </w:r>
    </w:p>
    <w:p w14:paraId="12FE8973" w14:textId="755B9BBF" w:rsidR="00116B7F" w:rsidRDefault="0038327B" w:rsidP="00116B7F">
      <w:pPr>
        <w:tabs>
          <w:tab w:val="left" w:pos="3261"/>
        </w:tabs>
        <w:spacing w:line="276" w:lineRule="auto"/>
        <w:ind w:right="-1"/>
        <w:rPr>
          <w:rFonts w:cs="Adobe Arabic"/>
          <w:b/>
        </w:rPr>
      </w:pPr>
      <w:r>
        <w:rPr>
          <w:b/>
        </w:rPr>
        <w:t>D</w:t>
      </w:r>
      <w:r w:rsidR="00953761">
        <w:rPr>
          <w:b/>
        </w:rPr>
        <w:t>ual and secondary encoders for collision monitoring</w:t>
      </w:r>
    </w:p>
    <w:p w14:paraId="721E76E7" w14:textId="007B8C3A" w:rsidR="00116B7F" w:rsidRDefault="00E4549E" w:rsidP="005121E1">
      <w:pPr>
        <w:tabs>
          <w:tab w:val="left" w:pos="3261"/>
        </w:tabs>
        <w:spacing w:line="276" w:lineRule="auto"/>
        <w:ind w:right="-143"/>
        <w:rPr>
          <w:rFonts w:cs="Adobe Arabic"/>
        </w:rPr>
      </w:pPr>
      <w:r>
        <w:t>D</w:t>
      </w:r>
      <w:r w:rsidR="00116B7F">
        <w:t xml:space="preserve">elivering positioning feedback both upstream and downstream from a robot joint’s gear systems </w:t>
      </w:r>
      <w:proofErr w:type="gramStart"/>
      <w:r w:rsidR="00116B7F">
        <w:t>increases</w:t>
      </w:r>
      <w:proofErr w:type="gramEnd"/>
      <w:r w:rsidR="00116B7F">
        <w:t xml:space="preserve"> robot accuracy. This can be achieved with HEIDENHAIN dual encoders or with conventional motor encoders combined with AMO or RSF secondary encoders. But greater robot accuracy is not the only benefit. This arrangement can also detect the effects of forces acting on the gear systems of individual robot joints, including collisions. </w:t>
      </w:r>
      <w:proofErr w:type="spellStart"/>
      <w:r w:rsidR="00116B7F">
        <w:t>Cobot</w:t>
      </w:r>
      <w:proofErr w:type="spellEnd"/>
      <w:r w:rsidR="00116B7F">
        <w:t xml:space="preserve"> manufacturers can therefore use this added capability to implement targeted collision monitoring without the need for additional torque sensors. A demonstration unit consisting of a </w:t>
      </w:r>
      <w:proofErr w:type="spellStart"/>
      <w:r w:rsidR="00116B7F">
        <w:t>cobot</w:t>
      </w:r>
      <w:proofErr w:type="spellEnd"/>
      <w:r w:rsidR="00116B7F">
        <w:t xml:space="preserve"> with these types of HEIDENHAIN rotary encoders will demonstrate force measurement and how it </w:t>
      </w:r>
      <w:r w:rsidR="00872122">
        <w:t xml:space="preserve">enables adherence </w:t>
      </w:r>
      <w:r w:rsidR="00116B7F">
        <w:t>to safety limits.</w:t>
      </w:r>
    </w:p>
    <w:p w14:paraId="15C47BF9" w14:textId="77777777" w:rsidR="00116B7F" w:rsidRDefault="00116B7F" w:rsidP="00116B7F">
      <w:pPr>
        <w:spacing w:line="276" w:lineRule="auto"/>
        <w:ind w:right="140"/>
        <w:rPr>
          <w:rFonts w:cs="Adobe Arabic"/>
        </w:rPr>
      </w:pPr>
    </w:p>
    <w:p w14:paraId="623E3DBB" w14:textId="26E6B4C7" w:rsidR="0038327B" w:rsidRDefault="0038327B" w:rsidP="00872122">
      <w:pPr>
        <w:rPr>
          <w:b/>
        </w:rPr>
      </w:pPr>
      <w:r>
        <w:rPr>
          <w:b/>
        </w:rPr>
        <w:t>Simplified mounting with no extra sensors through b</w:t>
      </w:r>
      <w:r w:rsidR="00F32411">
        <w:rPr>
          <w:b/>
        </w:rPr>
        <w:t>uilt-in vibration analysis</w:t>
      </w:r>
      <w:r>
        <w:rPr>
          <w:b/>
        </w:rPr>
        <w:t>:</w:t>
      </w:r>
      <w:bookmarkStart w:id="1" w:name="_Hlk181691204"/>
    </w:p>
    <w:p w14:paraId="7CE2EEE0" w14:textId="08D3160A" w:rsidR="00083796" w:rsidRPr="00407CAC" w:rsidRDefault="0038327B" w:rsidP="00872122">
      <w:pPr>
        <w:rPr>
          <w:rFonts w:cs="Adobe Arabic"/>
          <w:b/>
          <w:szCs w:val="20"/>
        </w:rPr>
      </w:pPr>
      <w:r>
        <w:rPr>
          <w:b/>
        </w:rPr>
        <w:t>T</w:t>
      </w:r>
      <w:r w:rsidR="00872122">
        <w:rPr>
          <w:rFonts w:cs="Adobe Arabic"/>
          <w:b/>
          <w:szCs w:val="20"/>
        </w:rPr>
        <w:t xml:space="preserve">he </w:t>
      </w:r>
      <w:r w:rsidR="00083796">
        <w:rPr>
          <w:b/>
        </w:rPr>
        <w:t xml:space="preserve">ECI 1323 </w:t>
      </w:r>
      <w:proofErr w:type="spellStart"/>
      <w:r w:rsidR="00083796">
        <w:rPr>
          <w:b/>
        </w:rPr>
        <w:t>S</w:t>
      </w:r>
      <w:r w:rsidR="00083796">
        <w:rPr>
          <w:b/>
          <w:i/>
        </w:rPr>
        <w:t>plus</w:t>
      </w:r>
      <w:proofErr w:type="spellEnd"/>
      <w:r w:rsidR="00083796">
        <w:rPr>
          <w:b/>
        </w:rPr>
        <w:t xml:space="preserve"> and EQI 1335 </w:t>
      </w:r>
      <w:proofErr w:type="spellStart"/>
      <w:r w:rsidR="00083796">
        <w:rPr>
          <w:b/>
        </w:rPr>
        <w:t>S</w:t>
      </w:r>
      <w:r w:rsidR="00083796">
        <w:rPr>
          <w:b/>
          <w:i/>
        </w:rPr>
        <w:t>plus</w:t>
      </w:r>
      <w:bookmarkEnd w:id="1"/>
      <w:proofErr w:type="spellEnd"/>
      <w:r w:rsidR="00083796">
        <w:t xml:space="preserve"> </w:t>
      </w:r>
      <w:r w:rsidR="00083796">
        <w:rPr>
          <w:b/>
        </w:rPr>
        <w:t>inductive rotary encoders</w:t>
      </w:r>
      <w:r w:rsidR="00872122">
        <w:rPr>
          <w:b/>
        </w:rPr>
        <w:t xml:space="preserve"> from HEIDENHAIN</w:t>
      </w:r>
    </w:p>
    <w:p w14:paraId="087E07DD" w14:textId="306AB417" w:rsidR="00377030" w:rsidRDefault="00083796" w:rsidP="00083796">
      <w:pPr>
        <w:tabs>
          <w:tab w:val="left" w:pos="3261"/>
        </w:tabs>
        <w:spacing w:line="276" w:lineRule="auto"/>
        <w:ind w:right="-1"/>
        <w:rPr>
          <w:rFonts w:cs="Adobe Arabic"/>
        </w:rPr>
      </w:pPr>
      <w:r>
        <w:t xml:space="preserve">Early detection of machine vibration is vital for ensuring smooth processes, perfect results and machine longevity in high-performance and capital-intensive automation systems. </w:t>
      </w:r>
      <w:r w:rsidR="0038327B">
        <w:t>As a result, users can minimize</w:t>
      </w:r>
      <w:r>
        <w:t xml:space="preserve"> scrap, </w:t>
      </w:r>
      <w:r w:rsidR="0038327B">
        <w:t xml:space="preserve">prevent </w:t>
      </w:r>
      <w:r>
        <w:t xml:space="preserve">machine damage and </w:t>
      </w:r>
      <w:r w:rsidR="0038327B">
        <w:t xml:space="preserve">reduce </w:t>
      </w:r>
      <w:r>
        <w:t>system downtime.</w:t>
      </w:r>
      <w:r w:rsidR="0038327B">
        <w:rPr>
          <w:rFonts w:cs="Adobe Arabic"/>
        </w:rPr>
        <w:t xml:space="preserve"> </w:t>
      </w:r>
      <w:r w:rsidR="00035D9D">
        <w:t xml:space="preserve">The ECI 1323 </w:t>
      </w:r>
      <w:proofErr w:type="spellStart"/>
      <w:r w:rsidR="00035D9D">
        <w:t>S</w:t>
      </w:r>
      <w:r w:rsidR="00035D9D">
        <w:rPr>
          <w:i/>
          <w:iCs/>
        </w:rPr>
        <w:t>plus</w:t>
      </w:r>
      <w:proofErr w:type="spellEnd"/>
      <w:r w:rsidR="00035D9D">
        <w:t xml:space="preserve"> and EQI 1335 </w:t>
      </w:r>
      <w:proofErr w:type="spellStart"/>
      <w:r w:rsidR="00035D9D">
        <w:t>S</w:t>
      </w:r>
      <w:r w:rsidR="00035D9D">
        <w:rPr>
          <w:i/>
          <w:iCs/>
        </w:rPr>
        <w:t>plus</w:t>
      </w:r>
      <w:proofErr w:type="spellEnd"/>
      <w:r w:rsidR="00035D9D">
        <w:t xml:space="preserve"> inductive rotary encoders from HEIDENHAIN</w:t>
      </w:r>
      <w:r w:rsidR="00872122">
        <w:t>, featuring</w:t>
      </w:r>
      <w:r w:rsidR="00035D9D">
        <w:t xml:space="preserve"> a built-in accelerometer and integrated vibration analysis</w:t>
      </w:r>
      <w:r w:rsidR="00872122">
        <w:t>,</w:t>
      </w:r>
      <w:r w:rsidR="00035D9D">
        <w:t xml:space="preserve"> are a particularly convenient solution for detecting and analyzing vibrations </w:t>
      </w:r>
      <w:r w:rsidR="00872122">
        <w:t>in</w:t>
      </w:r>
      <w:r w:rsidR="00035D9D">
        <w:t xml:space="preserve"> machine elements. These encoders unite position feedback and vibration analysis</w:t>
      </w:r>
      <w:r w:rsidR="00872122">
        <w:t>—</w:t>
      </w:r>
      <w:r w:rsidR="00035D9D">
        <w:t>and thus motion control and collision monitoring</w:t>
      </w:r>
      <w:r w:rsidR="00872122">
        <w:t>—</w:t>
      </w:r>
      <w:r w:rsidR="00035D9D">
        <w:t xml:space="preserve">within a single device. The link they establish between vibration and position signals also makes it easier to identify the type and location of </w:t>
      </w:r>
      <w:r w:rsidR="00872122">
        <w:t>a</w:t>
      </w:r>
      <w:r w:rsidR="00035D9D">
        <w:t xml:space="preserve"> vibration’s source. An external temperature sensor can be connected to these encoders as well.</w:t>
      </w:r>
    </w:p>
    <w:p w14:paraId="752A0674" w14:textId="77777777" w:rsidR="00872122" w:rsidRDefault="00872122" w:rsidP="00083796">
      <w:pPr>
        <w:tabs>
          <w:tab w:val="left" w:pos="3261"/>
        </w:tabs>
        <w:spacing w:line="276" w:lineRule="auto"/>
        <w:ind w:right="-1"/>
      </w:pPr>
    </w:p>
    <w:p w14:paraId="61D3AC0A" w14:textId="6EF55D61" w:rsidR="00872122" w:rsidRDefault="00872122" w:rsidP="00083796">
      <w:pPr>
        <w:tabs>
          <w:tab w:val="left" w:pos="3261"/>
        </w:tabs>
        <w:spacing w:line="276" w:lineRule="auto"/>
        <w:ind w:right="-1"/>
        <w:rPr>
          <w:rFonts w:cs="Adobe Arabic"/>
        </w:rPr>
      </w:pPr>
      <w:r>
        <w:t>T</w:t>
      </w:r>
      <w:r w:rsidR="00083796">
        <w:t xml:space="preserve">he ECI 1323 </w:t>
      </w:r>
      <w:proofErr w:type="spellStart"/>
      <w:r w:rsidR="00083796">
        <w:t>S</w:t>
      </w:r>
      <w:r w:rsidR="00083796">
        <w:rPr>
          <w:i/>
        </w:rPr>
        <w:t>plus</w:t>
      </w:r>
      <w:proofErr w:type="spellEnd"/>
      <w:r w:rsidR="00083796">
        <w:t xml:space="preserve"> and EQI 1335 </w:t>
      </w:r>
      <w:proofErr w:type="spellStart"/>
      <w:r w:rsidR="00083796">
        <w:t>S</w:t>
      </w:r>
      <w:r w:rsidR="00083796">
        <w:rPr>
          <w:i/>
        </w:rPr>
        <w:t>plus</w:t>
      </w:r>
      <w:proofErr w:type="spellEnd"/>
      <w:r w:rsidR="00083796">
        <w:t xml:space="preserve"> thus enable targeted online condition monitoring</w:t>
      </w:r>
      <w:r w:rsidR="00E957CD">
        <w:t xml:space="preserve"> that</w:t>
      </w:r>
      <w:r w:rsidR="00083796">
        <w:t xml:space="preserve"> allow</w:t>
      </w:r>
      <w:r w:rsidR="00E957CD">
        <w:t>s</w:t>
      </w:r>
      <w:r w:rsidR="00083796">
        <w:t xml:space="preserve"> machine faults to be detected and analyzed at an early stage. Based on this condition monitoring data, machine operators can implement predictive maintenance to optimize their machine servicing intervals in accordance with wear levels as well as adapt their production schedules based on immanent breakdowns.</w:t>
      </w:r>
      <w:r>
        <w:rPr>
          <w:rFonts w:cs="Adobe Arabic"/>
        </w:rPr>
        <w:t xml:space="preserve"> </w:t>
      </w:r>
    </w:p>
    <w:p w14:paraId="7ABEE8DB" w14:textId="77777777" w:rsidR="00872122" w:rsidRDefault="00872122" w:rsidP="00083796">
      <w:pPr>
        <w:tabs>
          <w:tab w:val="left" w:pos="3261"/>
        </w:tabs>
        <w:spacing w:line="276" w:lineRule="auto"/>
        <w:ind w:right="-1"/>
        <w:rPr>
          <w:rFonts w:cs="Adobe Arabic"/>
        </w:rPr>
      </w:pPr>
    </w:p>
    <w:p w14:paraId="0F5100B0" w14:textId="700C891E" w:rsidR="00083796" w:rsidRDefault="00872122" w:rsidP="00083796">
      <w:pPr>
        <w:tabs>
          <w:tab w:val="left" w:pos="3261"/>
        </w:tabs>
        <w:spacing w:line="276" w:lineRule="auto"/>
        <w:ind w:right="-1"/>
        <w:rPr>
          <w:rFonts w:cs="Adobe Arabic"/>
        </w:rPr>
      </w:pPr>
      <w:r>
        <w:rPr>
          <w:rFonts w:cs="Adobe Arabic"/>
        </w:rPr>
        <w:t xml:space="preserve">All the data from the ECI 1323 </w:t>
      </w:r>
      <w:proofErr w:type="spellStart"/>
      <w:r>
        <w:rPr>
          <w:rFonts w:cs="Adobe Arabic"/>
        </w:rPr>
        <w:t>S</w:t>
      </w:r>
      <w:r w:rsidRPr="00872122">
        <w:rPr>
          <w:rFonts w:cs="Adobe Arabic"/>
          <w:i/>
          <w:iCs/>
        </w:rPr>
        <w:t>plus</w:t>
      </w:r>
      <w:proofErr w:type="spellEnd"/>
      <w:r>
        <w:rPr>
          <w:rFonts w:cs="Adobe Arabic"/>
        </w:rPr>
        <w:t xml:space="preserve"> and EQI 1335 </w:t>
      </w:r>
      <w:proofErr w:type="spellStart"/>
      <w:r>
        <w:rPr>
          <w:rFonts w:cs="Adobe Arabic"/>
        </w:rPr>
        <w:t>S</w:t>
      </w:r>
      <w:r w:rsidRPr="00872122">
        <w:rPr>
          <w:rFonts w:cs="Adobe Arabic"/>
          <w:i/>
          <w:iCs/>
        </w:rPr>
        <w:t>plus</w:t>
      </w:r>
      <w:proofErr w:type="spellEnd"/>
      <w:r w:rsidRPr="00872122">
        <w:rPr>
          <w:rFonts w:cs="Adobe Arabic"/>
          <w:i/>
          <w:iCs/>
        </w:rPr>
        <w:t xml:space="preserve"> </w:t>
      </w:r>
      <w:r>
        <w:rPr>
          <w:rFonts w:cs="Adobe Arabic"/>
        </w:rPr>
        <w:t>encoders is transmitted to the downstream electronics via the EnDat 3 interface, thereby</w:t>
      </w:r>
      <w:r w:rsidR="00083796">
        <w:t xml:space="preserve"> eliminating the need for separate vibration sensors and significantly reducing cabling and installation complexity.</w:t>
      </w:r>
    </w:p>
    <w:p w14:paraId="252F83EF" w14:textId="77777777" w:rsidR="00357A90" w:rsidRDefault="00357A90" w:rsidP="00357A90">
      <w:pPr>
        <w:spacing w:line="276" w:lineRule="auto"/>
        <w:ind w:right="140"/>
        <w:rPr>
          <w:rFonts w:cs="Adobe Arabic"/>
        </w:rPr>
      </w:pPr>
    </w:p>
    <w:bookmarkEnd w:id="0"/>
    <w:p w14:paraId="5F7BF598" w14:textId="458EC965" w:rsidR="00770091" w:rsidRDefault="00770091" w:rsidP="00770091">
      <w:pPr>
        <w:tabs>
          <w:tab w:val="left" w:pos="3261"/>
        </w:tabs>
        <w:spacing w:line="276" w:lineRule="auto"/>
        <w:ind w:right="-1"/>
        <w:rPr>
          <w:rFonts w:cs="Adobe Arabic"/>
          <w:b/>
        </w:rPr>
      </w:pPr>
      <w:r>
        <w:rPr>
          <w:b/>
        </w:rPr>
        <w:t>Modular angle encoders from AMO and RSF:</w:t>
      </w:r>
    </w:p>
    <w:p w14:paraId="3189B9D0" w14:textId="11D10162" w:rsidR="00770091" w:rsidRDefault="00770091" w:rsidP="00770091">
      <w:pPr>
        <w:tabs>
          <w:tab w:val="left" w:pos="3261"/>
        </w:tabs>
        <w:spacing w:line="276" w:lineRule="auto"/>
        <w:ind w:right="-1"/>
        <w:rPr>
          <w:rFonts w:cs="Adobe Arabic"/>
        </w:rPr>
      </w:pPr>
      <w:r>
        <w:rPr>
          <w:b/>
        </w:rPr>
        <w:t>Secondary encoders for robot motors with wide shaft diameters</w:t>
      </w:r>
    </w:p>
    <w:p w14:paraId="0BAA2221" w14:textId="70F46B3B" w:rsidR="00770091" w:rsidRDefault="00770091" w:rsidP="00770091">
      <w:pPr>
        <w:tabs>
          <w:tab w:val="left" w:pos="3261"/>
        </w:tabs>
        <w:spacing w:line="276" w:lineRule="auto"/>
        <w:ind w:right="-1"/>
        <w:rPr>
          <w:rFonts w:cs="Adobe Arabic"/>
        </w:rPr>
      </w:pPr>
      <w:r>
        <w:t xml:space="preserve">Robot manufacturers can significantly improve the absolute position accuracy of their robots by adding a high-accuracy angle encoder on robot axes. Installed downstream from the gear system, secondary encoders determine the actual position of every robot joint, thereby enabling numerous new robot applications. Modular solutions, such as the WMRA angle encoder from AMO or the new MCR 16 angle encoder from RSF, </w:t>
      </w:r>
      <w:r w:rsidR="00872122">
        <w:t>are strong contenders in this field</w:t>
      </w:r>
      <w:r>
        <w:t xml:space="preserve">. Thanks to their modular design with a scale drum or measuring ring and a separate scanning unit, they are ideal for large shaft diameters and tight installation spaces. The inductive secondary encoder solutions from AMO feature high robustness and a versatile mechanical design. The MCR 16 from RSF delivers optical scanning with improved signal quality for absolute position measurement on </w:t>
      </w:r>
      <w:r w:rsidR="00E957CD">
        <w:t xml:space="preserve">large-diameter </w:t>
      </w:r>
      <w:r>
        <w:t>axes.</w:t>
      </w:r>
    </w:p>
    <w:p w14:paraId="4E41C54B" w14:textId="77777777" w:rsidR="00D73C9D" w:rsidRPr="00377030" w:rsidRDefault="00D73C9D" w:rsidP="00770091">
      <w:pPr>
        <w:tabs>
          <w:tab w:val="left" w:pos="3261"/>
        </w:tabs>
        <w:spacing w:line="276" w:lineRule="auto"/>
        <w:ind w:right="-1"/>
        <w:rPr>
          <w:rFonts w:cs="Adobe Arabic"/>
          <w:sz w:val="20"/>
          <w:szCs w:val="20"/>
        </w:rPr>
      </w:pPr>
    </w:p>
    <w:p w14:paraId="7D5CA0A9" w14:textId="77777777" w:rsidR="00377030" w:rsidRPr="00377030" w:rsidRDefault="00377030" w:rsidP="00770091">
      <w:pPr>
        <w:tabs>
          <w:tab w:val="left" w:pos="3261"/>
        </w:tabs>
        <w:spacing w:line="276" w:lineRule="auto"/>
        <w:ind w:right="-1"/>
        <w:rPr>
          <w:rFonts w:cs="Adobe Arabic"/>
          <w:sz w:val="20"/>
          <w:szCs w:val="20"/>
        </w:rPr>
      </w:pPr>
    </w:p>
    <w:p w14:paraId="50F11C9A" w14:textId="366C4CE0" w:rsidR="00D73C9D" w:rsidRDefault="00D73C9D" w:rsidP="00D73C9D">
      <w:pPr>
        <w:spacing w:line="276" w:lineRule="auto"/>
        <w:rPr>
          <w:rFonts w:cs="Arial"/>
          <w:b/>
          <w:color w:val="333333"/>
          <w:sz w:val="24"/>
          <w:szCs w:val="20"/>
          <w:shd w:val="clear" w:color="auto" w:fill="FFFFFF"/>
        </w:rPr>
      </w:pPr>
      <w:r>
        <w:rPr>
          <w:b/>
          <w:color w:val="333333"/>
          <w:sz w:val="24"/>
          <w:shd w:val="clear" w:color="auto" w:fill="FFFFFF"/>
        </w:rPr>
        <w:t xml:space="preserve">HEIDENHAIN at AUTOMATICA: </w:t>
      </w:r>
      <w:r w:rsidR="00E957CD">
        <w:rPr>
          <w:b/>
          <w:color w:val="333333"/>
          <w:sz w:val="24"/>
          <w:shd w:val="clear" w:color="auto" w:fill="FFFFFF"/>
        </w:rPr>
        <w:t xml:space="preserve">June </w:t>
      </w:r>
      <w:r>
        <w:rPr>
          <w:b/>
          <w:color w:val="333333"/>
          <w:sz w:val="24"/>
          <w:shd w:val="clear" w:color="auto" w:fill="FFFFFF"/>
        </w:rPr>
        <w:t>24 to 26</w:t>
      </w:r>
      <w:r w:rsidR="00E957CD">
        <w:rPr>
          <w:b/>
          <w:color w:val="333333"/>
          <w:sz w:val="24"/>
          <w:shd w:val="clear" w:color="auto" w:fill="FFFFFF"/>
        </w:rPr>
        <w:t>,</w:t>
      </w:r>
      <w:r>
        <w:rPr>
          <w:b/>
          <w:color w:val="333333"/>
          <w:sz w:val="24"/>
          <w:shd w:val="clear" w:color="auto" w:fill="FFFFFF"/>
        </w:rPr>
        <w:t xml:space="preserve"> 2025, Hall B6, Booth 302</w:t>
      </w:r>
    </w:p>
    <w:p w14:paraId="4CE31A9C" w14:textId="77777777" w:rsidR="00D73C9D" w:rsidRPr="00377030" w:rsidRDefault="00D73C9D" w:rsidP="00D73C9D">
      <w:pPr>
        <w:spacing w:line="276" w:lineRule="auto"/>
        <w:rPr>
          <w:rFonts w:cs="Arial"/>
          <w:b/>
          <w:color w:val="333333"/>
          <w:sz w:val="20"/>
          <w:szCs w:val="16"/>
          <w:shd w:val="clear" w:color="auto" w:fill="FFFFFF"/>
        </w:rPr>
      </w:pPr>
    </w:p>
    <w:p w14:paraId="3F80BB46" w14:textId="10FB54E0" w:rsidR="00D73C9D" w:rsidRPr="00334FD7" w:rsidRDefault="00D73C9D" w:rsidP="00D73C9D">
      <w:pPr>
        <w:autoSpaceDE w:val="0"/>
        <w:autoSpaceDN w:val="0"/>
        <w:adjustRightInd w:val="0"/>
        <w:spacing w:line="276" w:lineRule="auto"/>
        <w:rPr>
          <w:rFonts w:cs="Arial"/>
          <w:b/>
          <w:i/>
          <w:iCs/>
          <w:sz w:val="20"/>
          <w:szCs w:val="20"/>
        </w:rPr>
      </w:pPr>
      <w:r>
        <w:rPr>
          <w:b/>
          <w:i/>
          <w:sz w:val="20"/>
        </w:rPr>
        <w:t>For more information, visit:</w:t>
      </w:r>
    </w:p>
    <w:p w14:paraId="489D35C9" w14:textId="77777777" w:rsidR="00D73C9D" w:rsidRPr="00035D9D" w:rsidRDefault="00D73C9D" w:rsidP="00D73C9D">
      <w:pPr>
        <w:autoSpaceDE w:val="0"/>
        <w:autoSpaceDN w:val="0"/>
        <w:adjustRightInd w:val="0"/>
        <w:spacing w:line="276" w:lineRule="auto"/>
        <w:rPr>
          <w:rStyle w:val="Hyperlink"/>
          <w:rFonts w:cs="Arial"/>
          <w:iCs/>
          <w:sz w:val="20"/>
          <w:szCs w:val="20"/>
        </w:rPr>
      </w:pPr>
      <w:r>
        <w:rPr>
          <w:rStyle w:val="Hyperlink"/>
          <w:sz w:val="20"/>
        </w:rPr>
        <w:t>robotics.heidenhain.com</w:t>
      </w:r>
    </w:p>
    <w:p w14:paraId="450CDC4C" w14:textId="59D5BD7F" w:rsidR="00377030" w:rsidRPr="00377030" w:rsidRDefault="00D52B22" w:rsidP="00377030">
      <w:pPr>
        <w:autoSpaceDE w:val="0"/>
        <w:autoSpaceDN w:val="0"/>
        <w:adjustRightInd w:val="0"/>
        <w:spacing w:line="276" w:lineRule="auto"/>
        <w:rPr>
          <w:rFonts w:cs="Arial"/>
          <w:iCs/>
          <w:color w:val="0000FF"/>
          <w:sz w:val="20"/>
          <w:szCs w:val="20"/>
          <w:u w:val="single"/>
        </w:rPr>
      </w:pPr>
      <w:hyperlink r:id="rId8" w:history="1">
        <w:r w:rsidR="0038327B">
          <w:rPr>
            <w:rStyle w:val="Hyperlink"/>
            <w:sz w:val="20"/>
          </w:rPr>
          <w:t>www.heidenhain.com</w:t>
        </w:r>
      </w:hyperlink>
    </w:p>
    <w:tbl>
      <w:tblPr>
        <w:tblStyle w:val="Tabellenraster"/>
        <w:tblpPr w:leftFromText="141" w:rightFromText="141" w:vertAnchor="text" w:horzAnchor="margin" w:tblpY="210"/>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7"/>
        <w:gridCol w:w="4677"/>
      </w:tblGrid>
      <w:tr w:rsidR="00377030" w:rsidRPr="00334FD7" w14:paraId="62F82F8C" w14:textId="77777777" w:rsidTr="00274DBC">
        <w:trPr>
          <w:trHeight w:val="20"/>
        </w:trPr>
        <w:tc>
          <w:tcPr>
            <w:tcW w:w="9354" w:type="dxa"/>
            <w:gridSpan w:val="2"/>
          </w:tcPr>
          <w:p w14:paraId="196C1898" w14:textId="77777777" w:rsidR="00377030" w:rsidRPr="0077228B" w:rsidRDefault="00377030" w:rsidP="00274DBC">
            <w:pPr>
              <w:autoSpaceDE w:val="0"/>
              <w:autoSpaceDN w:val="0"/>
              <w:adjustRightInd w:val="0"/>
              <w:spacing w:line="276" w:lineRule="auto"/>
              <w:rPr>
                <w:rFonts w:cs="Arial"/>
                <w:b/>
                <w:i/>
                <w:iCs/>
                <w:sz w:val="20"/>
                <w:szCs w:val="20"/>
              </w:rPr>
            </w:pPr>
            <w:r>
              <w:rPr>
                <w:b/>
                <w:i/>
                <w:sz w:val="20"/>
              </w:rPr>
              <w:t>Contact persons for the trade press:</w:t>
            </w:r>
          </w:p>
        </w:tc>
      </w:tr>
      <w:tr w:rsidR="00377030" w:rsidRPr="00334FD7" w14:paraId="5895BA1C" w14:textId="77777777" w:rsidTr="00274DBC">
        <w:tc>
          <w:tcPr>
            <w:tcW w:w="4677" w:type="dxa"/>
          </w:tcPr>
          <w:p w14:paraId="6644EDC4"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Frank Muthmann</w:t>
            </w:r>
          </w:p>
          <w:p w14:paraId="7D626538"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DR. JOHANNES HEIDENHAIN GmbH</w:t>
            </w:r>
          </w:p>
          <w:p w14:paraId="42D22090"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Dr.-Johannes-Heidenhain-Straße 5</w:t>
            </w:r>
          </w:p>
          <w:p w14:paraId="1237FAAC"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83301 Traunreut, GERMANY</w:t>
            </w:r>
          </w:p>
          <w:p w14:paraId="08986178" w14:textId="77777777" w:rsidR="00377030" w:rsidRPr="00334FD7" w:rsidRDefault="00377030" w:rsidP="00274DBC">
            <w:pPr>
              <w:autoSpaceDE w:val="0"/>
              <w:autoSpaceDN w:val="0"/>
              <w:adjustRightInd w:val="0"/>
              <w:spacing w:line="276" w:lineRule="auto"/>
              <w:rPr>
                <w:rFonts w:cs="Arial"/>
                <w:sz w:val="20"/>
                <w:szCs w:val="20"/>
              </w:rPr>
            </w:pPr>
            <w:r>
              <w:rPr>
                <w:sz w:val="20"/>
              </w:rPr>
              <w:t>Tel.: +49 8669 31-2188</w:t>
            </w:r>
          </w:p>
          <w:p w14:paraId="58DFE8EC" w14:textId="77777777" w:rsidR="00377030" w:rsidRPr="00035D9D" w:rsidRDefault="00D52B22" w:rsidP="00274DBC">
            <w:pPr>
              <w:tabs>
                <w:tab w:val="left" w:pos="1317"/>
              </w:tabs>
              <w:autoSpaceDE w:val="0"/>
              <w:autoSpaceDN w:val="0"/>
              <w:adjustRightInd w:val="0"/>
              <w:spacing w:line="276" w:lineRule="auto"/>
              <w:rPr>
                <w:rFonts w:cs="Arial"/>
                <w:iCs/>
                <w:sz w:val="20"/>
                <w:szCs w:val="20"/>
              </w:rPr>
            </w:pPr>
            <w:hyperlink r:id="rId9" w:history="1">
              <w:r w:rsidR="0038327B">
                <w:rPr>
                  <w:rStyle w:val="Hyperlink"/>
                  <w:sz w:val="20"/>
                </w:rPr>
                <w:t>muthmann@heidenhain.de</w:t>
              </w:r>
            </w:hyperlink>
          </w:p>
        </w:tc>
        <w:tc>
          <w:tcPr>
            <w:tcW w:w="4677" w:type="dxa"/>
          </w:tcPr>
          <w:p w14:paraId="20F785A5"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Ulrich Poestgens</w:t>
            </w:r>
          </w:p>
          <w:p w14:paraId="52CED199"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DR. JOHANNES HEIDENHAIN GmbH</w:t>
            </w:r>
          </w:p>
          <w:p w14:paraId="634BBF6F" w14:textId="77777777" w:rsidR="00377030" w:rsidRPr="00E4549E" w:rsidRDefault="00377030" w:rsidP="00274DBC">
            <w:pPr>
              <w:autoSpaceDE w:val="0"/>
              <w:autoSpaceDN w:val="0"/>
              <w:adjustRightInd w:val="0"/>
              <w:spacing w:line="276" w:lineRule="auto"/>
              <w:rPr>
                <w:rFonts w:cs="Arial"/>
                <w:sz w:val="20"/>
                <w:szCs w:val="20"/>
                <w:lang w:val="de-DE"/>
              </w:rPr>
            </w:pPr>
            <w:r w:rsidRPr="00E4549E">
              <w:rPr>
                <w:sz w:val="20"/>
                <w:lang w:val="de-DE"/>
              </w:rPr>
              <w:t>Dr.-Johannes-Heidenhain-Straße 5</w:t>
            </w:r>
          </w:p>
          <w:p w14:paraId="6BFBF1E5" w14:textId="77777777" w:rsidR="00377030" w:rsidRPr="00CC05B0" w:rsidRDefault="00377030" w:rsidP="00274DBC">
            <w:pPr>
              <w:autoSpaceDE w:val="0"/>
              <w:autoSpaceDN w:val="0"/>
              <w:adjustRightInd w:val="0"/>
              <w:spacing w:line="276" w:lineRule="auto"/>
              <w:rPr>
                <w:rFonts w:cs="Arial"/>
                <w:sz w:val="20"/>
                <w:szCs w:val="20"/>
                <w:lang w:val="de-DE"/>
              </w:rPr>
            </w:pPr>
            <w:r w:rsidRPr="00CC05B0">
              <w:rPr>
                <w:sz w:val="20"/>
                <w:lang w:val="de-DE"/>
              </w:rPr>
              <w:t>83301 Traunreut, GERMANY</w:t>
            </w:r>
          </w:p>
          <w:p w14:paraId="3B7BBF99" w14:textId="77777777" w:rsidR="00377030" w:rsidRPr="00334FD7" w:rsidRDefault="00377030" w:rsidP="00274DBC">
            <w:pPr>
              <w:autoSpaceDE w:val="0"/>
              <w:autoSpaceDN w:val="0"/>
              <w:adjustRightInd w:val="0"/>
              <w:spacing w:line="276" w:lineRule="auto"/>
              <w:rPr>
                <w:rFonts w:cs="Arial"/>
                <w:sz w:val="20"/>
                <w:szCs w:val="20"/>
              </w:rPr>
            </w:pPr>
            <w:r>
              <w:rPr>
                <w:sz w:val="20"/>
              </w:rPr>
              <w:t>Tel.: +49 8669 31-4154</w:t>
            </w:r>
          </w:p>
          <w:p w14:paraId="15722F85" w14:textId="77777777" w:rsidR="00377030" w:rsidRPr="00334FD7" w:rsidRDefault="00D52B22" w:rsidP="00274DBC">
            <w:pPr>
              <w:spacing w:line="276" w:lineRule="auto"/>
              <w:rPr>
                <w:rFonts w:cs="Arial"/>
                <w:b/>
                <w:color w:val="333333"/>
                <w:szCs w:val="18"/>
                <w:shd w:val="clear" w:color="auto" w:fill="FFFFFF"/>
              </w:rPr>
            </w:pPr>
            <w:hyperlink r:id="rId10" w:history="1">
              <w:r w:rsidR="0038327B">
                <w:rPr>
                  <w:rStyle w:val="Hyperlink"/>
                  <w:sz w:val="20"/>
                </w:rPr>
                <w:t>poestgens@heidenhain.de</w:t>
              </w:r>
            </w:hyperlink>
          </w:p>
        </w:tc>
      </w:tr>
    </w:tbl>
    <w:p w14:paraId="0311B83D" w14:textId="77777777" w:rsidR="00377030" w:rsidRDefault="00377030" w:rsidP="00377030"/>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0FDD0CA4" w:rsidR="003D4CB9" w:rsidRPr="00334FD7" w:rsidRDefault="00E53A94" w:rsidP="00BA48BF">
            <w:pPr>
              <w:spacing w:line="276" w:lineRule="auto"/>
              <w:rPr>
                <w:rFonts w:cs="Adobe Arabic"/>
              </w:rPr>
            </w:pPr>
            <w:r>
              <w:rPr>
                <w:noProof/>
              </w:rPr>
              <w:drawing>
                <wp:inline distT="0" distB="0" distL="0" distR="0" wp14:anchorId="2E3AB929" wp14:editId="66661EEC">
                  <wp:extent cx="2861945" cy="1907424"/>
                  <wp:effectExtent l="0" t="0" r="0" b="0"/>
                  <wp:docPr id="9481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133"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1907424"/>
                          </a:xfrm>
                          <a:prstGeom prst="rect">
                            <a:avLst/>
                          </a:prstGeom>
                        </pic:spPr>
                      </pic:pic>
                    </a:graphicData>
                  </a:graphic>
                </wp:inline>
              </w:drawing>
            </w:r>
          </w:p>
        </w:tc>
        <w:tc>
          <w:tcPr>
            <w:tcW w:w="4677" w:type="dxa"/>
            <w:vAlign w:val="bottom"/>
          </w:tcPr>
          <w:p w14:paraId="010D2791" w14:textId="7D2BD5A6" w:rsidR="003D4CB9" w:rsidRPr="00334FD7" w:rsidRDefault="008353D5" w:rsidP="00A84B3D">
            <w:pPr>
              <w:spacing w:line="276" w:lineRule="auto"/>
              <w:rPr>
                <w:rFonts w:cs="Adobe Arabic"/>
                <w:i/>
              </w:rPr>
            </w:pPr>
            <w:r>
              <w:rPr>
                <w:i/>
              </w:rPr>
              <w:t xml:space="preserve">Optimal rotary encoders for every application: The product range for robotics and automation at HEIDENHAIN and its brands AMO, RSF and RENCO offers intelligent solutions for the full </w:t>
            </w:r>
            <w:r w:rsidR="00E957CD">
              <w:rPr>
                <w:i/>
              </w:rPr>
              <w:t>spectrum of</w:t>
            </w:r>
            <w:r>
              <w:rPr>
                <w:i/>
              </w:rPr>
              <w:t xml:space="preserve"> applications.</w:t>
            </w:r>
          </w:p>
        </w:tc>
      </w:tr>
      <w:tr w:rsidR="008353D5" w:rsidRPr="00334FD7" w14:paraId="389695A7" w14:textId="77777777" w:rsidTr="00EF542F">
        <w:tc>
          <w:tcPr>
            <w:tcW w:w="4677" w:type="dxa"/>
            <w:vAlign w:val="bottom"/>
          </w:tcPr>
          <w:p w14:paraId="1CCAC2AC" w14:textId="57F45695" w:rsidR="008353D5" w:rsidRDefault="00F32411" w:rsidP="00BA48BF">
            <w:pPr>
              <w:spacing w:line="276" w:lineRule="auto"/>
              <w:rPr>
                <w:rFonts w:cs="Adobe Arabic"/>
                <w:noProof/>
              </w:rPr>
            </w:pPr>
            <w:r>
              <w:rPr>
                <w:noProof/>
              </w:rPr>
              <w:drawing>
                <wp:inline distT="0" distB="0" distL="0" distR="0" wp14:anchorId="53AA7495" wp14:editId="09C9D361">
                  <wp:extent cx="2861945" cy="1907540"/>
                  <wp:effectExtent l="0" t="0" r="0" b="0"/>
                  <wp:docPr id="17607124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712495" name="Grafik 176071249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61945" cy="1907540"/>
                          </a:xfrm>
                          <a:prstGeom prst="rect">
                            <a:avLst/>
                          </a:prstGeom>
                        </pic:spPr>
                      </pic:pic>
                    </a:graphicData>
                  </a:graphic>
                </wp:inline>
              </w:drawing>
            </w:r>
          </w:p>
        </w:tc>
        <w:tc>
          <w:tcPr>
            <w:tcW w:w="4677" w:type="dxa"/>
            <w:vAlign w:val="bottom"/>
          </w:tcPr>
          <w:p w14:paraId="299AF430" w14:textId="67E320F2" w:rsidR="008353D5" w:rsidRDefault="00EF542F" w:rsidP="00EF542F">
            <w:pPr>
              <w:spacing w:line="276" w:lineRule="auto"/>
              <w:rPr>
                <w:rFonts w:cs="Adobe Arabic"/>
                <w:i/>
              </w:rPr>
            </w:pPr>
            <w:r>
              <w:rPr>
                <w:i/>
              </w:rPr>
              <w:t xml:space="preserve">Versatile platform: </w:t>
            </w:r>
            <w:r w:rsidR="00E957CD">
              <w:rPr>
                <w:i/>
              </w:rPr>
              <w:t xml:space="preserve">Featuring the EnDat 3 </w:t>
            </w:r>
            <w:r w:rsidR="0038327B">
              <w:rPr>
                <w:i/>
              </w:rPr>
              <w:t xml:space="preserve">data </w:t>
            </w:r>
            <w:r w:rsidR="00E957CD">
              <w:rPr>
                <w:i/>
              </w:rPr>
              <w:t>interface and two different mechanical interfaces, t</w:t>
            </w:r>
            <w:r>
              <w:rPr>
                <w:i/>
              </w:rPr>
              <w:t>he ECI and EQI inductive rotary encoders from HEIDENHAIN deliver optimal motor feedback for</w:t>
            </w:r>
            <w:r w:rsidR="00E957CD">
              <w:rPr>
                <w:i/>
              </w:rPr>
              <w:t xml:space="preserve"> automated</w:t>
            </w:r>
            <w:r>
              <w:rPr>
                <w:i/>
              </w:rPr>
              <w:t xml:space="preserve"> application</w:t>
            </w:r>
            <w:r w:rsidR="00E957CD">
              <w:rPr>
                <w:i/>
              </w:rPr>
              <w:t>s at every performance level.</w:t>
            </w:r>
          </w:p>
        </w:tc>
      </w:tr>
      <w:tr w:rsidR="00933176" w:rsidRPr="00334FD7" w14:paraId="63A1FBAF" w14:textId="77777777" w:rsidTr="00281C45">
        <w:tc>
          <w:tcPr>
            <w:tcW w:w="4677" w:type="dxa"/>
            <w:vAlign w:val="bottom"/>
          </w:tcPr>
          <w:p w14:paraId="6F459D49" w14:textId="453D940C" w:rsidR="00933176" w:rsidRDefault="00D1011B" w:rsidP="00BA48BF">
            <w:pPr>
              <w:spacing w:line="276" w:lineRule="auto"/>
              <w:rPr>
                <w:rFonts w:cs="Adobe Arabic"/>
                <w:noProof/>
              </w:rPr>
            </w:pPr>
            <w:r>
              <w:rPr>
                <w:noProof/>
              </w:rPr>
              <w:drawing>
                <wp:inline distT="0" distB="0" distL="0" distR="0" wp14:anchorId="66657270" wp14:editId="07D711EE">
                  <wp:extent cx="2861945" cy="1908175"/>
                  <wp:effectExtent l="0" t="0" r="0" b="0"/>
                  <wp:docPr id="835141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4148" name="Grafik 8351414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1945" cy="1908175"/>
                          </a:xfrm>
                          <a:prstGeom prst="rect">
                            <a:avLst/>
                          </a:prstGeom>
                        </pic:spPr>
                      </pic:pic>
                    </a:graphicData>
                  </a:graphic>
                </wp:inline>
              </w:drawing>
            </w:r>
          </w:p>
        </w:tc>
        <w:tc>
          <w:tcPr>
            <w:tcW w:w="4677" w:type="dxa"/>
            <w:vAlign w:val="bottom"/>
          </w:tcPr>
          <w:p w14:paraId="5CAFE99C" w14:textId="4699ACA5" w:rsidR="00933176" w:rsidRDefault="00563FC4" w:rsidP="00933176">
            <w:pPr>
              <w:spacing w:line="276" w:lineRule="auto"/>
              <w:rPr>
                <w:rFonts w:cs="Adobe Arabic"/>
                <w:i/>
              </w:rPr>
            </w:pPr>
            <w:r>
              <w:rPr>
                <w:i/>
              </w:rPr>
              <w:t xml:space="preserve">Higher accuracy and collision monitoring without additional torque sensors: A demo unit at the HEIDENHAIN booth will be </w:t>
            </w:r>
            <w:r w:rsidR="00E957CD">
              <w:rPr>
                <w:i/>
              </w:rPr>
              <w:t>showcasing</w:t>
            </w:r>
            <w:r>
              <w:rPr>
                <w:i/>
              </w:rPr>
              <w:t xml:space="preserve"> the benefits of dual encoders and secondary encoders for </w:t>
            </w:r>
            <w:proofErr w:type="spellStart"/>
            <w:r>
              <w:rPr>
                <w:i/>
              </w:rPr>
              <w:t>cobots</w:t>
            </w:r>
            <w:proofErr w:type="spellEnd"/>
            <w:r>
              <w:rPr>
                <w:i/>
              </w:rPr>
              <w:t>.</w:t>
            </w:r>
          </w:p>
        </w:tc>
      </w:tr>
    </w:tbl>
    <w:p w14:paraId="6CD7282D" w14:textId="77777777" w:rsidR="00335E9A" w:rsidRDefault="00335E9A" w:rsidP="00E647F0"/>
    <w:sectPr w:rsidR="00335E9A" w:rsidSect="00CF4C13">
      <w:headerReference w:type="default" r:id="rId14"/>
      <w:footerReference w:type="default" r:id="rId15"/>
      <w:pgSz w:w="11907" w:h="16840" w:code="9"/>
      <w:pgMar w:top="1871"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C33E4" w14:textId="77777777" w:rsidR="00D52B22" w:rsidRDefault="00D52B22" w:rsidP="0091430D">
      <w:r>
        <w:separator/>
      </w:r>
    </w:p>
  </w:endnote>
  <w:endnote w:type="continuationSeparator" w:id="0">
    <w:p w14:paraId="71BCF808" w14:textId="77777777" w:rsidR="00D52B22" w:rsidRDefault="00D52B2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AF7702B" w:rsidR="003D4CB9" w:rsidRPr="00F432DE" w:rsidRDefault="0045290E" w:rsidP="003D4CB9">
    <w:pPr>
      <w:pStyle w:val="Fuzeile"/>
      <w:tabs>
        <w:tab w:val="clear" w:pos="4536"/>
      </w:tabs>
      <w:rPr>
        <w:sz w:val="20"/>
      </w:rPr>
    </w:pPr>
    <w:r>
      <w:rPr>
        <w:sz w:val="20"/>
      </w:rPr>
      <w:t>June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B555" w14:textId="77777777" w:rsidR="00D52B22" w:rsidRDefault="00D52B22" w:rsidP="0091430D">
      <w:r>
        <w:separator/>
      </w:r>
    </w:p>
  </w:footnote>
  <w:footnote w:type="continuationSeparator" w:id="0">
    <w:p w14:paraId="467D559D" w14:textId="77777777" w:rsidR="00D52B22" w:rsidRDefault="00D52B22"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471F2B02"/>
    <w:multiLevelType w:val="hybridMultilevel"/>
    <w:tmpl w:val="4FF61E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 w:numId="5" w16cid:durableId="317807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1766"/>
    <w:rsid w:val="00004E58"/>
    <w:rsid w:val="000053C5"/>
    <w:rsid w:val="000127D1"/>
    <w:rsid w:val="00020177"/>
    <w:rsid w:val="00025E64"/>
    <w:rsid w:val="00026B4D"/>
    <w:rsid w:val="0003003E"/>
    <w:rsid w:val="0003362B"/>
    <w:rsid w:val="00035D9D"/>
    <w:rsid w:val="000372B6"/>
    <w:rsid w:val="000428B9"/>
    <w:rsid w:val="00045130"/>
    <w:rsid w:val="00046798"/>
    <w:rsid w:val="00046E42"/>
    <w:rsid w:val="0005391D"/>
    <w:rsid w:val="00055BB5"/>
    <w:rsid w:val="00057A67"/>
    <w:rsid w:val="00061D94"/>
    <w:rsid w:val="00062671"/>
    <w:rsid w:val="00075EE6"/>
    <w:rsid w:val="00083796"/>
    <w:rsid w:val="00084A5C"/>
    <w:rsid w:val="00085108"/>
    <w:rsid w:val="0008625A"/>
    <w:rsid w:val="000868FC"/>
    <w:rsid w:val="000918CA"/>
    <w:rsid w:val="00093E20"/>
    <w:rsid w:val="00095AF8"/>
    <w:rsid w:val="000A2E31"/>
    <w:rsid w:val="000B02AE"/>
    <w:rsid w:val="000B6ADE"/>
    <w:rsid w:val="000C3F0E"/>
    <w:rsid w:val="000C66E8"/>
    <w:rsid w:val="000E63B0"/>
    <w:rsid w:val="000E696D"/>
    <w:rsid w:val="000F6355"/>
    <w:rsid w:val="00104227"/>
    <w:rsid w:val="00106AEA"/>
    <w:rsid w:val="001076B5"/>
    <w:rsid w:val="00116B7F"/>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C4C5E"/>
    <w:rsid w:val="001D2A34"/>
    <w:rsid w:val="001E7E8E"/>
    <w:rsid w:val="002110ED"/>
    <w:rsid w:val="00211DB8"/>
    <w:rsid w:val="00212759"/>
    <w:rsid w:val="00215A79"/>
    <w:rsid w:val="00263D2D"/>
    <w:rsid w:val="002667D8"/>
    <w:rsid w:val="00274423"/>
    <w:rsid w:val="00274FE0"/>
    <w:rsid w:val="00281C45"/>
    <w:rsid w:val="00283405"/>
    <w:rsid w:val="002838D1"/>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434D"/>
    <w:rsid w:val="0035525C"/>
    <w:rsid w:val="003555A6"/>
    <w:rsid w:val="003566B6"/>
    <w:rsid w:val="00357A90"/>
    <w:rsid w:val="00371EBE"/>
    <w:rsid w:val="00375378"/>
    <w:rsid w:val="003754AA"/>
    <w:rsid w:val="00377030"/>
    <w:rsid w:val="00377391"/>
    <w:rsid w:val="0038307A"/>
    <w:rsid w:val="0038317E"/>
    <w:rsid w:val="0038327B"/>
    <w:rsid w:val="003864D2"/>
    <w:rsid w:val="003866E3"/>
    <w:rsid w:val="0039200C"/>
    <w:rsid w:val="003A1CBE"/>
    <w:rsid w:val="003B2AD8"/>
    <w:rsid w:val="003B6E84"/>
    <w:rsid w:val="003C11A0"/>
    <w:rsid w:val="003D14B6"/>
    <w:rsid w:val="003D4CB9"/>
    <w:rsid w:val="003D7E41"/>
    <w:rsid w:val="003E0B6D"/>
    <w:rsid w:val="003E417B"/>
    <w:rsid w:val="003F0B65"/>
    <w:rsid w:val="003F32BD"/>
    <w:rsid w:val="003F5A40"/>
    <w:rsid w:val="003F6B54"/>
    <w:rsid w:val="003F7859"/>
    <w:rsid w:val="0041650E"/>
    <w:rsid w:val="004318A8"/>
    <w:rsid w:val="00431A5E"/>
    <w:rsid w:val="004335F2"/>
    <w:rsid w:val="00434FB6"/>
    <w:rsid w:val="004355FD"/>
    <w:rsid w:val="004363CA"/>
    <w:rsid w:val="00437499"/>
    <w:rsid w:val="004418D4"/>
    <w:rsid w:val="00450667"/>
    <w:rsid w:val="00450ADE"/>
    <w:rsid w:val="0045290E"/>
    <w:rsid w:val="00454588"/>
    <w:rsid w:val="00457C9D"/>
    <w:rsid w:val="00466631"/>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E2A63"/>
    <w:rsid w:val="004F0053"/>
    <w:rsid w:val="004F6CE3"/>
    <w:rsid w:val="00500E9E"/>
    <w:rsid w:val="005121E1"/>
    <w:rsid w:val="005153F0"/>
    <w:rsid w:val="00516792"/>
    <w:rsid w:val="00521B4C"/>
    <w:rsid w:val="0053234F"/>
    <w:rsid w:val="005516FA"/>
    <w:rsid w:val="00560B58"/>
    <w:rsid w:val="00563FC4"/>
    <w:rsid w:val="005821E1"/>
    <w:rsid w:val="00582F30"/>
    <w:rsid w:val="00586C01"/>
    <w:rsid w:val="005915F6"/>
    <w:rsid w:val="00593634"/>
    <w:rsid w:val="00595438"/>
    <w:rsid w:val="005A1218"/>
    <w:rsid w:val="005A29AD"/>
    <w:rsid w:val="005B152F"/>
    <w:rsid w:val="005B3F5F"/>
    <w:rsid w:val="005B4D50"/>
    <w:rsid w:val="005B5DBD"/>
    <w:rsid w:val="005C6192"/>
    <w:rsid w:val="005C7C77"/>
    <w:rsid w:val="005D0700"/>
    <w:rsid w:val="005D5128"/>
    <w:rsid w:val="005D65D6"/>
    <w:rsid w:val="005D719F"/>
    <w:rsid w:val="005E2BFB"/>
    <w:rsid w:val="005F2AF0"/>
    <w:rsid w:val="00616166"/>
    <w:rsid w:val="00626D63"/>
    <w:rsid w:val="0063009A"/>
    <w:rsid w:val="00632BC7"/>
    <w:rsid w:val="006355EE"/>
    <w:rsid w:val="00635D3B"/>
    <w:rsid w:val="00643ACC"/>
    <w:rsid w:val="00652C63"/>
    <w:rsid w:val="006577EB"/>
    <w:rsid w:val="00661039"/>
    <w:rsid w:val="006758B8"/>
    <w:rsid w:val="00696528"/>
    <w:rsid w:val="006A1A69"/>
    <w:rsid w:val="006B23F0"/>
    <w:rsid w:val="006B3CB1"/>
    <w:rsid w:val="006B3D39"/>
    <w:rsid w:val="006B4F68"/>
    <w:rsid w:val="006C0084"/>
    <w:rsid w:val="006C22A5"/>
    <w:rsid w:val="006C4D06"/>
    <w:rsid w:val="006C641E"/>
    <w:rsid w:val="006D1007"/>
    <w:rsid w:val="006D3EBC"/>
    <w:rsid w:val="006D4E4B"/>
    <w:rsid w:val="006E1F8C"/>
    <w:rsid w:val="006E4066"/>
    <w:rsid w:val="006F37F4"/>
    <w:rsid w:val="006F3E0F"/>
    <w:rsid w:val="006F41B7"/>
    <w:rsid w:val="006F4F9C"/>
    <w:rsid w:val="00706824"/>
    <w:rsid w:val="00727F41"/>
    <w:rsid w:val="007347B8"/>
    <w:rsid w:val="00744603"/>
    <w:rsid w:val="00750D1A"/>
    <w:rsid w:val="00756EE4"/>
    <w:rsid w:val="00770091"/>
    <w:rsid w:val="00771DB3"/>
    <w:rsid w:val="0077228B"/>
    <w:rsid w:val="0077601D"/>
    <w:rsid w:val="0078495B"/>
    <w:rsid w:val="00794393"/>
    <w:rsid w:val="0079498A"/>
    <w:rsid w:val="0079517F"/>
    <w:rsid w:val="007956E2"/>
    <w:rsid w:val="0079650B"/>
    <w:rsid w:val="00796ECD"/>
    <w:rsid w:val="00796FDF"/>
    <w:rsid w:val="007A4345"/>
    <w:rsid w:val="007A4F06"/>
    <w:rsid w:val="007B5290"/>
    <w:rsid w:val="007C1A90"/>
    <w:rsid w:val="007C4DC3"/>
    <w:rsid w:val="007C7E21"/>
    <w:rsid w:val="007E0104"/>
    <w:rsid w:val="007F7AE1"/>
    <w:rsid w:val="00802E48"/>
    <w:rsid w:val="00806A90"/>
    <w:rsid w:val="00814F20"/>
    <w:rsid w:val="00822665"/>
    <w:rsid w:val="008353D5"/>
    <w:rsid w:val="00835EA9"/>
    <w:rsid w:val="008407A8"/>
    <w:rsid w:val="00843288"/>
    <w:rsid w:val="008500A1"/>
    <w:rsid w:val="008518F6"/>
    <w:rsid w:val="008603F3"/>
    <w:rsid w:val="00865838"/>
    <w:rsid w:val="00866D02"/>
    <w:rsid w:val="00872122"/>
    <w:rsid w:val="0088056E"/>
    <w:rsid w:val="008806CC"/>
    <w:rsid w:val="008808DE"/>
    <w:rsid w:val="008871B4"/>
    <w:rsid w:val="008915F3"/>
    <w:rsid w:val="00894D28"/>
    <w:rsid w:val="00896AD5"/>
    <w:rsid w:val="008A03B3"/>
    <w:rsid w:val="008A6540"/>
    <w:rsid w:val="008A68D9"/>
    <w:rsid w:val="008E17E1"/>
    <w:rsid w:val="008E584F"/>
    <w:rsid w:val="008E6A48"/>
    <w:rsid w:val="008F402C"/>
    <w:rsid w:val="00904E51"/>
    <w:rsid w:val="00913BE7"/>
    <w:rsid w:val="0091430D"/>
    <w:rsid w:val="00915EFB"/>
    <w:rsid w:val="009169C2"/>
    <w:rsid w:val="00921FB5"/>
    <w:rsid w:val="009245BA"/>
    <w:rsid w:val="00933176"/>
    <w:rsid w:val="00942DD4"/>
    <w:rsid w:val="00942F78"/>
    <w:rsid w:val="009442FE"/>
    <w:rsid w:val="0094781E"/>
    <w:rsid w:val="009504D3"/>
    <w:rsid w:val="00951569"/>
    <w:rsid w:val="00952826"/>
    <w:rsid w:val="00952CA1"/>
    <w:rsid w:val="0095347A"/>
    <w:rsid w:val="00953761"/>
    <w:rsid w:val="00961A82"/>
    <w:rsid w:val="0096312C"/>
    <w:rsid w:val="00963479"/>
    <w:rsid w:val="00964FC8"/>
    <w:rsid w:val="009733AE"/>
    <w:rsid w:val="00975A0B"/>
    <w:rsid w:val="00982455"/>
    <w:rsid w:val="00995BCC"/>
    <w:rsid w:val="009970E3"/>
    <w:rsid w:val="009A348C"/>
    <w:rsid w:val="009A7518"/>
    <w:rsid w:val="009A7644"/>
    <w:rsid w:val="009B16A3"/>
    <w:rsid w:val="009B379B"/>
    <w:rsid w:val="009B67F1"/>
    <w:rsid w:val="009C6BF8"/>
    <w:rsid w:val="009D15B9"/>
    <w:rsid w:val="009D16F3"/>
    <w:rsid w:val="009D175A"/>
    <w:rsid w:val="009D5CDA"/>
    <w:rsid w:val="009E37E6"/>
    <w:rsid w:val="009F4490"/>
    <w:rsid w:val="00A11EDF"/>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E5767"/>
    <w:rsid w:val="00AF23A8"/>
    <w:rsid w:val="00AF30BC"/>
    <w:rsid w:val="00AF5755"/>
    <w:rsid w:val="00B07FE0"/>
    <w:rsid w:val="00B10896"/>
    <w:rsid w:val="00B12E17"/>
    <w:rsid w:val="00B14E54"/>
    <w:rsid w:val="00B23E65"/>
    <w:rsid w:val="00B2689C"/>
    <w:rsid w:val="00B56CC6"/>
    <w:rsid w:val="00B62AB4"/>
    <w:rsid w:val="00B64F03"/>
    <w:rsid w:val="00B6511B"/>
    <w:rsid w:val="00B65E49"/>
    <w:rsid w:val="00B823B1"/>
    <w:rsid w:val="00B87B80"/>
    <w:rsid w:val="00B92F2C"/>
    <w:rsid w:val="00B95935"/>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3BB"/>
    <w:rsid w:val="00C10403"/>
    <w:rsid w:val="00C13283"/>
    <w:rsid w:val="00C17634"/>
    <w:rsid w:val="00C21CBA"/>
    <w:rsid w:val="00C24CB4"/>
    <w:rsid w:val="00C27FD1"/>
    <w:rsid w:val="00C303B3"/>
    <w:rsid w:val="00C3144E"/>
    <w:rsid w:val="00C35316"/>
    <w:rsid w:val="00C36CB1"/>
    <w:rsid w:val="00C40AB9"/>
    <w:rsid w:val="00C46F38"/>
    <w:rsid w:val="00C608DE"/>
    <w:rsid w:val="00C62A38"/>
    <w:rsid w:val="00C70D7B"/>
    <w:rsid w:val="00C7255F"/>
    <w:rsid w:val="00C76A4D"/>
    <w:rsid w:val="00C808A0"/>
    <w:rsid w:val="00C81461"/>
    <w:rsid w:val="00C8425D"/>
    <w:rsid w:val="00C85806"/>
    <w:rsid w:val="00C96C4D"/>
    <w:rsid w:val="00CA2992"/>
    <w:rsid w:val="00CA3A20"/>
    <w:rsid w:val="00CB03FD"/>
    <w:rsid w:val="00CB1992"/>
    <w:rsid w:val="00CB2B90"/>
    <w:rsid w:val="00CC05B0"/>
    <w:rsid w:val="00CC6DF0"/>
    <w:rsid w:val="00CD4796"/>
    <w:rsid w:val="00CD71D4"/>
    <w:rsid w:val="00CE6C7B"/>
    <w:rsid w:val="00CF4C13"/>
    <w:rsid w:val="00CF60D4"/>
    <w:rsid w:val="00CF6546"/>
    <w:rsid w:val="00D07551"/>
    <w:rsid w:val="00D1011B"/>
    <w:rsid w:val="00D10BC2"/>
    <w:rsid w:val="00D12FE9"/>
    <w:rsid w:val="00D14166"/>
    <w:rsid w:val="00D14601"/>
    <w:rsid w:val="00D147B8"/>
    <w:rsid w:val="00D1480C"/>
    <w:rsid w:val="00D17E78"/>
    <w:rsid w:val="00D2252D"/>
    <w:rsid w:val="00D32474"/>
    <w:rsid w:val="00D43AD5"/>
    <w:rsid w:val="00D45A00"/>
    <w:rsid w:val="00D527D5"/>
    <w:rsid w:val="00D52B22"/>
    <w:rsid w:val="00D60668"/>
    <w:rsid w:val="00D622C6"/>
    <w:rsid w:val="00D713A0"/>
    <w:rsid w:val="00D73C9D"/>
    <w:rsid w:val="00D77BB7"/>
    <w:rsid w:val="00D87B41"/>
    <w:rsid w:val="00D90E17"/>
    <w:rsid w:val="00D93E00"/>
    <w:rsid w:val="00D9586D"/>
    <w:rsid w:val="00D96114"/>
    <w:rsid w:val="00DA1D6D"/>
    <w:rsid w:val="00DA75BA"/>
    <w:rsid w:val="00DB06F7"/>
    <w:rsid w:val="00DD6CC2"/>
    <w:rsid w:val="00DE07BC"/>
    <w:rsid w:val="00DE36FF"/>
    <w:rsid w:val="00DE5C0A"/>
    <w:rsid w:val="00DF2886"/>
    <w:rsid w:val="00E0475C"/>
    <w:rsid w:val="00E06DD0"/>
    <w:rsid w:val="00E10858"/>
    <w:rsid w:val="00E22AC1"/>
    <w:rsid w:val="00E2679F"/>
    <w:rsid w:val="00E302A0"/>
    <w:rsid w:val="00E32A68"/>
    <w:rsid w:val="00E35995"/>
    <w:rsid w:val="00E4331D"/>
    <w:rsid w:val="00E43981"/>
    <w:rsid w:val="00E4549E"/>
    <w:rsid w:val="00E53A94"/>
    <w:rsid w:val="00E54940"/>
    <w:rsid w:val="00E647F0"/>
    <w:rsid w:val="00E752C5"/>
    <w:rsid w:val="00E80B0E"/>
    <w:rsid w:val="00E82990"/>
    <w:rsid w:val="00E854C5"/>
    <w:rsid w:val="00E87DA6"/>
    <w:rsid w:val="00E90578"/>
    <w:rsid w:val="00E91F1B"/>
    <w:rsid w:val="00E92936"/>
    <w:rsid w:val="00E9491F"/>
    <w:rsid w:val="00E951C2"/>
    <w:rsid w:val="00E957CD"/>
    <w:rsid w:val="00E97915"/>
    <w:rsid w:val="00EA0DB8"/>
    <w:rsid w:val="00EA5046"/>
    <w:rsid w:val="00EB1D38"/>
    <w:rsid w:val="00EB4C6E"/>
    <w:rsid w:val="00EC47D1"/>
    <w:rsid w:val="00ED049A"/>
    <w:rsid w:val="00ED0F55"/>
    <w:rsid w:val="00ED2BF2"/>
    <w:rsid w:val="00EF542F"/>
    <w:rsid w:val="00EF7163"/>
    <w:rsid w:val="00F070B5"/>
    <w:rsid w:val="00F1013B"/>
    <w:rsid w:val="00F13C59"/>
    <w:rsid w:val="00F14D45"/>
    <w:rsid w:val="00F21F92"/>
    <w:rsid w:val="00F23403"/>
    <w:rsid w:val="00F23E43"/>
    <w:rsid w:val="00F24B38"/>
    <w:rsid w:val="00F2757E"/>
    <w:rsid w:val="00F310C4"/>
    <w:rsid w:val="00F31938"/>
    <w:rsid w:val="00F32411"/>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0A39"/>
    <w:rsid w:val="00FB090D"/>
    <w:rsid w:val="00FB5B37"/>
    <w:rsid w:val="00FC07F4"/>
    <w:rsid w:val="00FC20A0"/>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 w:type="character" w:styleId="NichtaufgelsteErwhnung">
    <w:name w:val="Unresolved Mention"/>
    <w:basedOn w:val="Absatz-Standardschriftart"/>
    <w:uiPriority w:val="99"/>
    <w:semiHidden/>
    <w:unhideWhenUsed/>
    <w:rsid w:val="00772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2504206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idenhain.com"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5643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6525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Poestgens Ulrich</cp:lastModifiedBy>
  <cp:revision>3</cp:revision>
  <cp:lastPrinted>2025-06-06T08:47:00Z</cp:lastPrinted>
  <dcterms:created xsi:type="dcterms:W3CDTF">2025-06-06T09:42:00Z</dcterms:created>
  <dcterms:modified xsi:type="dcterms:W3CDTF">2025-06-06T09:42:00Z</dcterms:modified>
</cp:coreProperties>
</file>